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5.png" ContentType="image/png"/>
  <Override PartName="/word/media/image4.wmf" ContentType="image/x-wmf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18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left" w:pos="727" w:leader="none"/>
        </w:tabs>
        <w:spacing w:before="2" w:after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b/>
          <w:b/>
          <w:bCs/>
          <w:color w:val="000000"/>
          <w:sz w:val="18"/>
        </w:rPr>
      </w:pPr>
      <w:r>
        <w:rPr>
          <w:rFonts w:cs="Tahoma" w:ascii="Tahoma" w:hAnsi="Tahoma"/>
          <w:b/>
          <w:bCs/>
          <w:color w:val="000000"/>
          <w:sz w:val="18"/>
        </w:rPr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b/>
          <w:b/>
          <w:bCs/>
          <w:color w:val="000000"/>
          <w:sz w:val="18"/>
        </w:rPr>
      </w:pPr>
      <w:r>
        <w:rPr>
          <w:rFonts w:cs="Tahoma" w:ascii="Tahoma" w:hAnsi="Tahoma"/>
          <w:b/>
          <w:bCs/>
          <w:color w:val="000000"/>
          <w:sz w:val="18"/>
        </w:rPr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b/>
          <w:b/>
          <w:bCs/>
          <w:color w:val="000000"/>
          <w:sz w:val="18"/>
        </w:rPr>
      </w:pPr>
      <w:r>
        <w:rPr>
          <w:rFonts w:cs="Tahoma" w:ascii="Tahoma" w:hAnsi="Tahoma"/>
          <w:b/>
          <w:bCs/>
          <w:color w:val="000000"/>
          <w:sz w:val="18"/>
        </w:rPr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b/>
          <w:b/>
          <w:bCs/>
          <w:color w:val="000000"/>
          <w:sz w:val="28"/>
          <w:lang w:val="en-US"/>
        </w:rPr>
      </w:pPr>
      <w:r>
        <w:rPr>
          <w:rFonts w:cs="Tahoma" w:ascii="Tahoma" w:hAnsi="Tahoma"/>
          <w:b/>
          <w:bCs/>
          <w:color w:val="000000"/>
          <w:sz w:val="28"/>
        </w:rPr>
        <w:t xml:space="preserve">ТЕЛЕЖКА РУЧНАЯ ГИДРАВЛИЧЕСКАЯ </w:t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sz w:val="22"/>
          <w:lang w:val="en-US"/>
        </w:rPr>
      </w:pPr>
      <w:r>
        <w:rPr>
          <w:rFonts w:cs="Tahoma" w:ascii="Tahoma" w:hAnsi="Tahoma"/>
          <w:b/>
          <w:bCs/>
          <w:color w:val="000000"/>
          <w:sz w:val="18"/>
          <w:lang w:val="en-US"/>
        </w:rPr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b/>
          <w:b/>
          <w:bCs/>
          <w:color w:val="000000"/>
          <w:sz w:val="22"/>
        </w:rPr>
      </w:pPr>
      <w:r>
        <w:rPr>
          <w:rFonts w:cs="Tahoma" w:ascii="Tahoma" w:hAnsi="Tahoma"/>
          <w:b/>
          <w:bCs/>
          <w:color w:val="000000"/>
          <w:sz w:val="22"/>
        </w:rPr>
        <w:t>РУКОВОДСТВО ПО ЭКСПЛУАТАЦИИ</w:t>
      </w:r>
    </w:p>
    <w:p>
      <w:pPr>
        <w:pStyle w:val="Normal"/>
        <w:overflowPunct w:val="true"/>
        <w:jc w:val="center"/>
        <w:rPr>
          <w:rFonts w:ascii="Tahoma" w:hAnsi="Tahoma" w:cs="Tahoma"/>
          <w:b/>
          <w:b/>
          <w:bCs/>
          <w:color w:val="000000"/>
          <w:sz w:val="22"/>
        </w:rPr>
      </w:pPr>
      <w:r>
        <w:rPr>
          <w:rFonts w:cs="Tahoma" w:ascii="Tahoma" w:hAnsi="Tahoma"/>
          <w:b/>
          <w:bCs/>
          <w:color w:val="000000"/>
          <w:sz w:val="22"/>
        </w:rPr>
        <w:t>(ПАСПОРТ)</w:t>
      </w:r>
    </w:p>
    <w:p>
      <w:pPr>
        <w:pStyle w:val="Normal"/>
        <w:widowControl w:val="false"/>
        <w:overflowPunct w:val="true"/>
        <w:jc w:val="center"/>
        <w:rPr>
          <w:rFonts w:ascii="Tahoma" w:hAnsi="Tahoma" w:cs="Tahoma"/>
          <w:color w:val="000000"/>
          <w:sz w:val="18"/>
        </w:rPr>
      </w:pPr>
      <w:r>
        <w:rPr>
          <w:rFonts w:cs="Tahoma" w:ascii="Tahoma" w:hAnsi="Tahoma"/>
          <w:color w:val="000000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drawing>
          <wp:anchor behindDoc="0" distT="0" distB="0" distL="133350" distR="117475" simplePos="0" locked="0" layoutInCell="1" allowOverlap="1" relativeHeight="6">
            <wp:simplePos x="0" y="0"/>
            <wp:positionH relativeFrom="column">
              <wp:posOffset>817880</wp:posOffset>
            </wp:positionH>
            <wp:positionV relativeFrom="paragraph">
              <wp:posOffset>87630</wp:posOffset>
            </wp:positionV>
            <wp:extent cx="2987675" cy="2894330"/>
            <wp:effectExtent l="0" t="0" r="0" b="0"/>
            <wp:wrapNone/>
            <wp:docPr id="1" name="Рисунок 21" descr="CBY-DF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CBY-DF 25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lineRule="atLeast" w:line="20"/>
        <w:ind w:right="0" w:hanging="0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2"/>
        </w:rPr>
      </w:pPr>
      <w:r>
        <w:rPr>
          <w:rFonts w:cs="Tahoma" w:ascii="Tahoma" w:hAnsi="Tahoma"/>
          <w:sz w:val="2"/>
        </w:rPr>
      </w:r>
      <w:r>
        <w:br w:type="page"/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27" w:leader="none"/>
        </w:tabs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bCs/>
          <w:color w:val="000000"/>
          <w:sz w:val="18"/>
        </w:rPr>
        <w:t>Описание и работа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727" w:leader="none"/>
        </w:tabs>
        <w:spacing w:before="2" w:after="120"/>
        <w:ind w:left="0" w:hanging="0"/>
        <w:jc w:val="center"/>
        <w:rPr>
          <w:rFonts w:ascii="Tahoma" w:hAnsi="Tahoma" w:cs="Tahoma"/>
          <w:b/>
          <w:b/>
          <w:bCs/>
          <w:color w:val="000000"/>
          <w:sz w:val="18"/>
        </w:rPr>
      </w:pPr>
      <w:r>
        <w:rPr>
          <w:rFonts w:cs="Tahoma" w:ascii="Tahoma" w:hAnsi="Tahoma"/>
          <w:b/>
          <w:bCs/>
          <w:color w:val="000000"/>
          <w:sz w:val="18"/>
        </w:rPr>
        <w:t>Назначение изделия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Тележка ручная гидравлическая предназначена для транспортировки груза, паллетированного или упакованного на поддоны, с помощью ручного управления. Использование тележки предусматривает работу на ровных и твердых поверхностях.  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1810385" cy="1751965"/>
            <wp:effectExtent l="0" t="0" r="0" b="0"/>
            <wp:wrapNone/>
            <wp:docPr id="2" name="Рисунок 11" descr="рохл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рохля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spacing w:before="120" w:after="12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  <w:lang w:val="en-US"/>
        </w:rPr>
        <w:t>1.2</w:t>
      </w:r>
      <w:r>
        <w:rPr>
          <w:rFonts w:cs="Tahoma" w:ascii="Tahoma" w:hAnsi="Tahoma"/>
          <w:b/>
          <w:sz w:val="18"/>
        </w:rPr>
        <w:t>. Технические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454"/>
        <w:gridCol w:w="535"/>
        <w:gridCol w:w="545"/>
        <w:gridCol w:w="567"/>
        <w:gridCol w:w="623"/>
        <w:gridCol w:w="565"/>
        <w:gridCol w:w="1753"/>
        <w:gridCol w:w="1185"/>
      </w:tblGrid>
      <w:tr>
        <w:trPr>
          <w:trHeight w:val="1538" w:hRule="exact"/>
          <w:cantSplit w:val="true"/>
        </w:trPr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Г/п, кг</w:t>
            </w:r>
          </w:p>
        </w:tc>
        <w:tc>
          <w:tcPr>
            <w:tcW w:w="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Длина вил, мм</w:t>
            </w:r>
          </w:p>
        </w:tc>
        <w:tc>
          <w:tcPr>
            <w:tcW w:w="5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Ширина вил, мм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Н подхвата, мм</w:t>
            </w:r>
          </w:p>
        </w:tc>
        <w:tc>
          <w:tcPr>
            <w:tcW w:w="6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Н подъема, мм</w:t>
            </w:r>
          </w:p>
        </w:tc>
        <w:tc>
          <w:tcPr>
            <w:tcW w:w="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17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Габариты, мм</w:t>
            </w:r>
          </w:p>
        </w:tc>
        <w:tc>
          <w:tcPr>
            <w:tcW w:w="1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5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Колесо</w:t>
            </w:r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2000</w:t>
            </w:r>
          </w:p>
        </w:tc>
        <w:tc>
          <w:tcPr>
            <w:tcW w:w="5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1150</w:t>
            </w:r>
          </w:p>
        </w:tc>
        <w:tc>
          <w:tcPr>
            <w:tcW w:w="5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85</w:t>
            </w:r>
          </w:p>
        </w:tc>
        <w:tc>
          <w:tcPr>
            <w:tcW w:w="62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210</w:t>
            </w:r>
          </w:p>
        </w:tc>
        <w:tc>
          <w:tcPr>
            <w:tcW w:w="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80</w:t>
            </w:r>
          </w:p>
        </w:tc>
        <w:tc>
          <w:tcPr>
            <w:tcW w:w="17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1530х540х1220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полиур.</w:t>
            </w:r>
          </w:p>
        </w:tc>
      </w:tr>
    </w:tbl>
    <w:p>
      <w:pPr>
        <w:pStyle w:val="Normal"/>
        <w:jc w:val="center"/>
        <w:rPr>
          <w:rFonts w:ascii="Tahoma" w:hAnsi="Tahoma" w:cs="Tahoma"/>
          <w:b/>
          <w:b/>
          <w:sz w:val="10"/>
          <w:szCs w:val="16"/>
        </w:rPr>
      </w:pPr>
      <w:r>
        <w:rPr>
          <w:rFonts w:cs="Tahoma" w:ascii="Tahoma" w:hAnsi="Tahoma"/>
          <w:b/>
          <w:sz w:val="10"/>
          <w:szCs w:val="16"/>
        </w:rPr>
      </w:r>
    </w:p>
    <w:p>
      <w:pPr>
        <w:pStyle w:val="Normal"/>
        <w:jc w:val="center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jc w:val="center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jc w:val="center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Дата продажи:                               МП:                            Кол-во:           шт</w:t>
      </w:r>
    </w:p>
    <w:p>
      <w:pPr>
        <w:pStyle w:val="Normal"/>
        <w:jc w:val="center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>2. Устройство и принцип работы</w:t>
      </w:r>
    </w:p>
    <w:p>
      <w:pPr>
        <w:pStyle w:val="Normal"/>
        <w:rPr>
          <w:rFonts w:ascii="Tahoma" w:hAnsi="Tahoma" w:cs="Tahoma"/>
          <w:sz w:val="10"/>
          <w:szCs w:val="16"/>
        </w:rPr>
      </w:pPr>
      <w:r>
        <w:rPr>
          <w:rFonts w:cs="Tahoma" w:ascii="Tahoma" w:hAnsi="Tahoma"/>
          <w:sz w:val="10"/>
          <w:szCs w:val="16"/>
        </w:rPr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2.1. Тележка ручная гидравлическая представляет собой устройство, состоящее из вилочной металлической конструкции, оснащенной колесами для ее перемещения, ручки управления процессом подъема и перемещения, гидравлического узла, обеспечивающего усилие при подъеме груза. 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2.2. Управление подъемом и перемещением тележки происходит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вручную. При этом горизонтальное перемещение достигается при ручной тяге ручки в нужную сторону, а подъемом – при маятниковом движении ручки. Спуск осуществляется нажатием рычага ручки.   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2.3. Гидравлический узел расположен на поворотной паре колес, с помощью которых можно свободно ориентировать тележку в пространстве. Рычаг соединен с гидравлическим узлом тележки. </w:t>
      </w:r>
    </w:p>
    <w:p>
      <w:pPr>
        <w:pStyle w:val="Normal"/>
        <w:rPr>
          <w:rFonts w:ascii="Tahoma" w:hAnsi="Tahoma" w:cs="Tahoma"/>
          <w:sz w:val="10"/>
          <w:szCs w:val="16"/>
        </w:rPr>
      </w:pPr>
      <w:r>
        <w:rPr>
          <w:rFonts w:cs="Tahoma" w:ascii="Tahoma" w:hAnsi="Tahoma"/>
          <w:sz w:val="10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0" w:hanging="0"/>
        <w:jc w:val="center"/>
        <w:rPr>
          <w:rFonts w:ascii="Tahoma" w:hAnsi="Tahoma" w:cs="Tahoma"/>
          <w:b/>
          <w:b/>
          <w:sz w:val="18"/>
          <w:lang w:val="en-US"/>
        </w:rPr>
      </w:pPr>
      <w:r>
        <w:rPr>
          <w:rFonts w:cs="Tahoma" w:ascii="Tahoma" w:hAnsi="Tahoma"/>
          <w:b/>
          <w:sz w:val="18"/>
        </w:rPr>
        <w:t xml:space="preserve">Подготовка </w:t>
      </w:r>
      <w:r>
        <w:rPr>
          <w:rFonts w:cs="Tahoma" w:ascii="Tahoma" w:hAnsi="Tahoma"/>
          <w:b/>
          <w:sz w:val="18"/>
          <w:lang w:val="en-US"/>
        </w:rPr>
        <w:t xml:space="preserve">и </w:t>
      </w:r>
      <w:r>
        <w:rPr>
          <w:rFonts w:cs="Tahoma" w:ascii="Tahoma" w:hAnsi="Tahoma"/>
          <w:b/>
          <w:sz w:val="18"/>
        </w:rPr>
        <w:t>порядок работы</w:t>
      </w:r>
    </w:p>
    <w:p>
      <w:pPr>
        <w:pStyle w:val="Normal"/>
        <w:numPr>
          <w:ilvl w:val="1"/>
          <w:numId w:val="2"/>
        </w:numPr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>Подготовка к работе</w:t>
      </w:r>
    </w:p>
    <w:p>
      <w:pPr>
        <w:pStyle w:val="Normal"/>
        <w:rPr>
          <w:rFonts w:ascii="Tahoma" w:hAnsi="Tahoma" w:cs="Tahoma"/>
          <w:sz w:val="10"/>
          <w:szCs w:val="16"/>
        </w:rPr>
      </w:pPr>
      <w:r>
        <w:rPr>
          <w:rFonts w:cs="Tahoma" w:ascii="Tahoma" w:hAnsi="Tahoma"/>
          <w:sz w:val="10"/>
          <w:szCs w:val="16"/>
        </w:rPr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3.1.1. Распакуйте тележку.</w:t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3.1.2. Соедините ручку тележки с гидравлическим узлом.</w:t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3.1.3. Установите тележку на ровную твердую поверхность.</w:t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3.1.4. Проведите техническое освидетельствование с целью установления: </w:t>
      </w:r>
    </w:p>
    <w:p>
      <w:pPr>
        <w:pStyle w:val="Normal"/>
        <w:ind w:firstLine="1134"/>
        <w:jc w:val="both"/>
        <w:rPr>
          <w:rFonts w:ascii="Tahoma" w:hAnsi="Tahoma" w:cs="Tahoma"/>
          <w:sz w:val="18"/>
          <w:lang w:val="en-US"/>
        </w:rPr>
      </w:pPr>
      <w:r>
        <w:rPr>
          <w:rFonts w:cs="Tahoma" w:ascii="Tahoma" w:hAnsi="Tahoma"/>
          <w:sz w:val="18"/>
        </w:rPr>
        <w:t xml:space="preserve">- соответствия комплектности тележки технической документации, </w:t>
      </w:r>
    </w:p>
    <w:p>
      <w:pPr>
        <w:pStyle w:val="Normal"/>
        <w:ind w:firstLine="1134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- исправного состояния тележки. </w:t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3.1.5. Проверьте работу тележки вхолостую, подняв на полную высоту и попробовав ее переместить (2 раза).</w:t>
      </w:r>
    </w:p>
    <w:p>
      <w:pPr>
        <w:pStyle w:val="Normal"/>
        <w:tabs>
          <w:tab w:val="left" w:pos="426" w:leader="none"/>
        </w:tabs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3.1.6. Проверьте исправность механизма спуска (нажав рычаг управления).</w:t>
      </w:r>
    </w:p>
    <w:p>
      <w:pPr>
        <w:pStyle w:val="Normal"/>
        <w:rPr>
          <w:rFonts w:ascii="Tahoma" w:hAnsi="Tahoma" w:cs="Tahoma"/>
          <w:sz w:val="10"/>
          <w:szCs w:val="16"/>
        </w:rPr>
      </w:pPr>
      <w:r>
        <w:rPr>
          <w:rFonts w:cs="Tahoma" w:ascii="Tahoma" w:hAnsi="Tahoma"/>
          <w:sz w:val="10"/>
          <w:szCs w:val="16"/>
        </w:rPr>
      </w:r>
    </w:p>
    <w:p>
      <w:pPr>
        <w:pStyle w:val="Normal"/>
        <w:numPr>
          <w:ilvl w:val="1"/>
          <w:numId w:val="2"/>
        </w:numPr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>Порядок работы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drawing>
          <wp:anchor behindDoc="0" distT="0" distB="0" distL="133350" distR="117475" simplePos="0" locked="0" layoutInCell="1" allowOverlap="1" relativeHeight="3">
            <wp:simplePos x="0" y="0"/>
            <wp:positionH relativeFrom="column">
              <wp:posOffset>1901825</wp:posOffset>
            </wp:positionH>
            <wp:positionV relativeFrom="paragraph">
              <wp:posOffset>63500</wp:posOffset>
            </wp:positionV>
            <wp:extent cx="2606675" cy="1547495"/>
            <wp:effectExtent l="0" t="0" r="0" b="0"/>
            <wp:wrapSquare wrapText="bothSides"/>
            <wp:docPr id="3" name="Рисунок 12" descr="рохл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рохля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18"/>
        </w:rPr>
        <w:t>3</w:t>
      </w:r>
      <w:r>
        <w:rPr>
          <w:rFonts w:cs="Tahoma" w:ascii="Tahoma" w:hAnsi="Tahoma"/>
          <w:sz w:val="18"/>
        </w:rPr>
        <w:t>.2.1. Перед началом работы убедитесь, что тележка стоит на ровной твердой поверхности, а перемещаемый груз складирован на исправном поддоне.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3.2.2. Для перемещения груза заведите рабочие вилы тележки под поддон соответствующим образом, переведите рычаг управления в положение подъема (от себя до упора).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3.2.3. Возвратно-поступательным движением ручки, соединенной с гидравлическим узлом, приподнимите рабочими вилами паллетированный груз на небольшую высоту для проверки исправности подъемного механизма.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3.2.4. Убедившись, что тележка функционирует исправно, продолжайте подъем груза до нужной высоты. 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3.2.5. Для перемещения тележки переведите рычаг управления в нейтральное (среднее) положение.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3.2.6. После этого тележку с грузом можно свободно перемещать на необходимое расстояние, а также ориентировать в пространстве с помощью силы, приложенной к ее ручке.  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3.2.7. Для спуска груза и освобождения тележки удерживайте рычаг в положении спуска (к себе до упора). При этом рабочие вилы должны опуститься в крайнее нижнее положение и избавиться от контакта с поддоном (грузом).  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3.2.8. После этого тележка будет готова к следующей транспортной операции. 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 xml:space="preserve"> </w:t>
      </w:r>
      <w:r>
        <w:rPr>
          <w:rFonts w:cs="Tahoma" w:ascii="Tahoma" w:hAnsi="Tahoma"/>
          <w:b/>
          <w:sz w:val="18"/>
        </w:rPr>
        <w:t>Меры безопасности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4.1. Тележка должна эксплуатироваться в строгом соответствии со своими паспортным данными и предусмотренным порядком работы. 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drawing>
          <wp:anchor behindDoc="0" distT="0" distB="0" distL="114300" distR="120650" simplePos="0" locked="0" layoutInCell="1" allowOverlap="1" relativeHeight="5">
            <wp:simplePos x="0" y="0"/>
            <wp:positionH relativeFrom="column">
              <wp:posOffset>43815</wp:posOffset>
            </wp:positionH>
            <wp:positionV relativeFrom="paragraph">
              <wp:posOffset>198755</wp:posOffset>
            </wp:positionV>
            <wp:extent cx="584200" cy="519430"/>
            <wp:effectExtent l="0" t="0" r="0" b="0"/>
            <wp:wrapNone/>
            <wp:docPr id="4" name="Рисунок 2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0" descr="ACHTUN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sz w:val="18"/>
        </w:rPr>
        <w:t>4</w:t>
      </w:r>
      <w:r>
        <w:rPr>
          <w:rFonts w:cs="Tahoma" w:ascii="Tahoma" w:hAnsi="Tahoma"/>
          <w:sz w:val="18"/>
        </w:rPr>
        <w:t>.2. Эксплуатация и обслуживание выполняются только квалифицированным персоналом.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4.3. Запрещается оставлять груз в поднятом положении без присмотра.  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4.4. Запрещается перевозка людей.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4.5. Не допускается перегруз тележки, перевозка двух и более поддонов.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4.6. Груз должен равномерно распределяться по длине вил.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4.7. Необходимо соблюдать схему надлежащей погрузки тележки, согласно рисунку 1.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4.8. Запрещается работать на наклонной поверхности.</w:t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1421765</wp:posOffset>
            </wp:positionH>
            <wp:positionV relativeFrom="paragraph">
              <wp:posOffset>57150</wp:posOffset>
            </wp:positionV>
            <wp:extent cx="1985645" cy="1544320"/>
            <wp:effectExtent l="0" t="0" r="0" b="0"/>
            <wp:wrapNone/>
            <wp:docPr id="5" name="Рисунок 13" descr="рохл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рохля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ind w:left="1134" w:hanging="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jc w:val="center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Рис.1. Схема погрузки груза на тележку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 xml:space="preserve"> </w:t>
      </w:r>
      <w:r>
        <w:rPr>
          <w:rFonts w:cs="Tahoma" w:ascii="Tahoma" w:hAnsi="Tahoma"/>
          <w:b/>
          <w:sz w:val="18"/>
        </w:rPr>
        <w:t>Техническое обслуживание</w:t>
      </w:r>
    </w:p>
    <w:p>
      <w:pPr>
        <w:pStyle w:val="Normal"/>
        <w:tabs>
          <w:tab w:val="left" w:pos="284" w:leader="none"/>
        </w:tabs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5.1. Обслуживание и ремонт тележек должны проводиться квалифицированным персоналом.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5.2. Ежедневное техническое облуживание состоит в проверке исправности вил и транспортных роликов, осей.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5.3. Ежемесячное техническое обслуживание заключается в смазке основных узлов тележки, проверке исправности колес.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5.4. Раз в три месяца необходимо проверять: уровень масла при опущенных вилах, герметичность гидравлического узла, прочность винтовых и болтовых соединений, способность свободного поворота ручки управления.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5.5. Ежегодное обслуживание заключается в проверке износа важнейших узлов тележки и их замене в случае необходимости, замене гидравлического масла, проведении испытания работоспособности тележки.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5.6. Рекомендуемые смазочные материалы и гидравлическое масло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- Универсальная густая смазка </w:t>
      </w:r>
      <w:r>
        <w:rPr>
          <w:rFonts w:cs="Tahoma" w:ascii="Tahoma" w:hAnsi="Tahoma"/>
          <w:sz w:val="18"/>
          <w:lang w:val="en-US"/>
        </w:rPr>
        <w:t>DIN</w:t>
      </w:r>
      <w:r>
        <w:rPr>
          <w:rFonts w:cs="Tahoma" w:ascii="Tahoma" w:hAnsi="Tahoma"/>
          <w:sz w:val="18"/>
        </w:rPr>
        <w:t xml:space="preserve"> 51825 </w:t>
      </w:r>
      <w:r>
        <w:rPr>
          <w:rFonts w:cs="Tahoma" w:ascii="Tahoma" w:hAnsi="Tahoma"/>
          <w:sz w:val="18"/>
          <w:lang w:val="en-US"/>
        </w:rPr>
        <w:t>T</w:t>
      </w:r>
      <w:r>
        <w:rPr>
          <w:rFonts w:cs="Tahoma" w:ascii="Tahoma" w:hAnsi="Tahoma"/>
          <w:sz w:val="18"/>
        </w:rPr>
        <w:t>1-</w:t>
      </w:r>
      <w:r>
        <w:rPr>
          <w:rFonts w:cs="Tahoma" w:ascii="Tahoma" w:hAnsi="Tahoma"/>
          <w:sz w:val="18"/>
          <w:lang w:val="en-US"/>
        </w:rPr>
        <w:t>K</w:t>
      </w:r>
      <w:r>
        <w:rPr>
          <w:rFonts w:cs="Tahoma" w:ascii="Tahoma" w:hAnsi="Tahoma"/>
          <w:sz w:val="18"/>
        </w:rPr>
        <w:t>2</w:t>
      </w:r>
      <w:r>
        <w:rPr>
          <w:rFonts w:cs="Tahoma" w:ascii="Tahoma" w:hAnsi="Tahoma"/>
          <w:sz w:val="18"/>
          <w:lang w:val="en-US"/>
        </w:rPr>
        <w:t>K</w:t>
      </w:r>
      <w:r>
        <w:rPr>
          <w:rFonts w:cs="Tahoma" w:ascii="Tahoma" w:hAnsi="Tahoma"/>
          <w:sz w:val="18"/>
        </w:rPr>
        <w:t xml:space="preserve"> или аналоги.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 xml:space="preserve">- Гидравлическая жидкость </w:t>
      </w:r>
      <w:r>
        <w:rPr>
          <w:rFonts w:cs="Tahoma" w:ascii="Tahoma" w:hAnsi="Tahoma"/>
          <w:sz w:val="18"/>
          <w:lang w:val="en-US"/>
        </w:rPr>
        <w:t>HLD</w:t>
      </w:r>
      <w:r>
        <w:rPr>
          <w:rFonts w:cs="Tahoma" w:ascii="Tahoma" w:hAnsi="Tahoma"/>
          <w:sz w:val="18"/>
        </w:rPr>
        <w:t>-</w:t>
      </w:r>
      <w:r>
        <w:rPr>
          <w:rFonts w:cs="Tahoma" w:ascii="Tahoma" w:hAnsi="Tahoma"/>
          <w:sz w:val="18"/>
          <w:lang w:val="en-US"/>
        </w:rPr>
        <w:t>DIN</w:t>
      </w:r>
      <w:r>
        <w:rPr>
          <w:rFonts w:cs="Tahoma" w:ascii="Tahoma" w:hAnsi="Tahoma"/>
          <w:sz w:val="18"/>
        </w:rPr>
        <w:t xml:space="preserve"> 51524 </w:t>
      </w:r>
      <w:r>
        <w:rPr>
          <w:rFonts w:cs="Tahoma" w:ascii="Tahoma" w:hAnsi="Tahoma"/>
          <w:sz w:val="18"/>
          <w:lang w:val="en-US"/>
        </w:rPr>
        <w:t>T</w:t>
      </w:r>
      <w:r>
        <w:rPr>
          <w:rFonts w:cs="Tahoma" w:ascii="Tahoma" w:hAnsi="Tahoma"/>
          <w:sz w:val="18"/>
        </w:rPr>
        <w:t xml:space="preserve">2 </w:t>
      </w:r>
      <w:r>
        <w:rPr>
          <w:rFonts w:cs="Tahoma" w:ascii="Tahoma" w:hAnsi="Tahoma"/>
          <w:sz w:val="18"/>
          <w:lang w:val="en-US"/>
        </w:rPr>
        <w:t>ISO</w:t>
      </w:r>
      <w:r>
        <w:rPr>
          <w:rFonts w:cs="Tahoma" w:ascii="Tahoma" w:hAnsi="Tahoma"/>
          <w:sz w:val="18"/>
        </w:rPr>
        <w:t xml:space="preserve"> </w:t>
      </w:r>
      <w:r>
        <w:rPr>
          <w:rFonts w:cs="Tahoma" w:ascii="Tahoma" w:hAnsi="Tahoma"/>
          <w:sz w:val="18"/>
          <w:lang w:val="en-US"/>
        </w:rPr>
        <w:t>VG</w:t>
      </w:r>
      <w:r>
        <w:rPr>
          <w:rFonts w:cs="Tahoma" w:ascii="Tahoma" w:hAnsi="Tahoma"/>
          <w:sz w:val="18"/>
        </w:rPr>
        <w:t xml:space="preserve"> 22 </w:t>
      </w:r>
    </w:p>
    <w:p>
      <w:pPr>
        <w:pStyle w:val="Normal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ind w:left="0" w:hanging="0"/>
        <w:jc w:val="center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 xml:space="preserve"> </w:t>
      </w:r>
      <w:r>
        <w:rPr>
          <w:rFonts w:cs="Tahoma" w:ascii="Tahoma" w:hAnsi="Tahoma"/>
          <w:b/>
          <w:sz w:val="18"/>
        </w:rPr>
        <w:t>Гарантийные обязательства</w:t>
      </w:r>
    </w:p>
    <w:p>
      <w:pPr>
        <w:pStyle w:val="Normal"/>
        <w:tabs>
          <w:tab w:val="left" w:pos="284" w:leader="none"/>
        </w:tabs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</w:r>
    </w:p>
    <w:p>
      <w:pPr>
        <w:pStyle w:val="Normal"/>
        <w:widowControl w:val="false"/>
        <w:shd w:val="clear" w:color="auto" w:fill="FFFFFF"/>
        <w:spacing w:before="2" w:after="0"/>
        <w:ind w:firstLine="709"/>
        <w:jc w:val="both"/>
        <w:rPr>
          <w:rFonts w:ascii="Tahoma" w:hAnsi="Tahoma" w:cs="Tahoma"/>
          <w:color w:val="000000"/>
          <w:spacing w:val="0"/>
          <w:sz w:val="18"/>
        </w:rPr>
      </w:pPr>
      <w:r>
        <w:rPr>
          <w:rFonts w:cs="Tahoma" w:ascii="Tahoma" w:hAnsi="Tahoma"/>
          <w:color w:val="000000"/>
          <w:spacing w:val="0"/>
          <w:sz w:val="18"/>
        </w:rPr>
        <w:t xml:space="preserve">6.1.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</w:t>
      </w:r>
    </w:p>
    <w:p>
      <w:pPr>
        <w:pStyle w:val="Normal"/>
        <w:widowControl w:val="false"/>
        <w:shd w:val="clear" w:color="auto" w:fill="FFFFFF"/>
        <w:spacing w:before="2" w:after="0"/>
        <w:jc w:val="both"/>
        <w:rPr>
          <w:rFonts w:ascii="Tahoma" w:hAnsi="Tahoma" w:cs="Tahoma"/>
          <w:color w:val="000000"/>
          <w:spacing w:val="0"/>
          <w:sz w:val="18"/>
        </w:rPr>
      </w:pPr>
      <w:r>
        <w:rPr>
          <w:rFonts w:cs="Tahoma" w:ascii="Tahoma" w:hAnsi="Tahoma"/>
          <w:color w:val="000000"/>
          <w:spacing w:val="0"/>
          <w:sz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</w:p>
    <w:p>
      <w:pPr>
        <w:pStyle w:val="Normal"/>
        <w:ind w:firstLine="709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  <w:t>6.2. Гарантийный срок эксплуатации составляет 12 месяцев со дня продажи конечному потребителю, при условии соблюдения им требований технического обслуживания и отсутствии принудительных механических повреждений.</w:t>
      </w:r>
    </w:p>
    <w:p>
      <w:pPr>
        <w:pStyle w:val="Normal"/>
        <w:ind w:firstLine="709"/>
        <w:jc w:val="both"/>
        <w:rPr/>
      </w:pPr>
      <w:r>
        <w:rPr>
          <w:rFonts w:cs="Tahoma" w:ascii="Tahoma" w:hAnsi="Tahoma"/>
          <w:sz w:val="18"/>
        </w:rPr>
        <w:t>6.3. Срок длительного хранения – 3 года со дня изготовления.</w:t>
      </w:r>
    </w:p>
    <w:sectPr>
      <w:footerReference w:type="default" r:id="rId7"/>
      <w:type w:val="nextPage"/>
      <w:pgSz w:orient="landscape" w:w="8419" w:h="11906"/>
      <w:pgMar w:left="737" w:right="454" w:header="0" w:top="567" w:footer="266" w:bottom="567" w:gutter="0"/>
      <w:pgNumType w:start="0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sz w:val="18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10" w:hanging="510"/>
      </w:pPr>
      <w:rPr>
        <w:sz w:val="18"/>
        <w:b/>
        <w:rFonts w:ascii="Tahoma" w:hAnsi="Tahoma"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18"/>
        <w:b/>
        <w:rFonts w:ascii="Tahoma" w:hAnsi="Tahoma"/>
        <w:color w:val="00000A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sz w:val="22"/>
        <w:color w:val="00000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2"/>
        <w:color w:val="00000A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2"/>
        <w:color w:val="00000A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sz w:val="22"/>
        <w:color w:val="00000A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2"/>
        <w:color w:val="00000A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sz w:val="22"/>
        <w:color w:val="00000A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sz w:val="22"/>
        <w:color w:val="00000A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1080"/>
      </w:pPr>
    </w:lvl>
    <w:lvl w:ilvl="3">
      <w:start w:val="1"/>
      <w:numFmt w:val="decimal"/>
      <w:lvlText w:val="%1.%2.%3.%4."/>
      <w:lvlJc w:val="left"/>
      <w:pPr>
        <w:ind w:left="2250" w:hanging="1440"/>
      </w:pPr>
    </w:lvl>
    <w:lvl w:ilvl="4">
      <w:start w:val="1"/>
      <w:numFmt w:val="decimal"/>
      <w:lvlText w:val="%1.%2.%3.%4.%5."/>
      <w:lvlJc w:val="left"/>
      <w:pPr>
        <w:ind w:left="2400" w:hanging="1440"/>
      </w:pPr>
    </w:lvl>
    <w:lvl w:ilvl="5">
      <w:start w:val="1"/>
      <w:numFmt w:val="decimal"/>
      <w:lvlText w:val="%1.%2.%3.%4.%5.%6."/>
      <w:lvlJc w:val="left"/>
      <w:pPr>
        <w:ind w:left="2910" w:hanging="1800"/>
      </w:pPr>
    </w:lvl>
    <w:lvl w:ilvl="6">
      <w:start w:val="1"/>
      <w:numFmt w:val="decimal"/>
      <w:lvlText w:val="%1.%2.%3.%4.%5.%6.%7."/>
      <w:lvlJc w:val="left"/>
      <w:pPr>
        <w:ind w:left="3420" w:hanging="2160"/>
      </w:pPr>
    </w:lvl>
    <w:lvl w:ilvl="7">
      <w:start w:val="1"/>
      <w:numFmt w:val="decimal"/>
      <w:lvlText w:val="%1.%2.%3.%4.%5.%6.%7.%8."/>
      <w:lvlJc w:val="left"/>
      <w:pPr>
        <w:ind w:left="3930" w:hanging="2520"/>
      </w:pPr>
    </w:lvl>
    <w:lvl w:ilvl="8">
      <w:start w:val="1"/>
      <w:numFmt w:val="decimal"/>
      <w:lvlText w:val="%1.%2.%3.%4.%5.%6.%7.%8.%9."/>
      <w:lvlJc w:val="left"/>
      <w:pPr>
        <w:ind w:left="4080" w:hanging="25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3c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semiHidden/>
    <w:qFormat/>
    <w:rPr/>
  </w:style>
  <w:style w:type="character" w:styleId="Style11" w:customStyle="1">
    <w:name w:val="Верхний колонтитул Знак"/>
    <w:link w:val="a4"/>
    <w:qFormat/>
    <w:rsid w:val="00a258ed"/>
    <w:rPr>
      <w:sz w:val="24"/>
      <w:szCs w:val="24"/>
    </w:rPr>
  </w:style>
  <w:style w:type="character" w:styleId="Style12" w:customStyle="1">
    <w:name w:val="Нижний колонтитул Знак"/>
    <w:link w:val="a6"/>
    <w:uiPriority w:val="99"/>
    <w:qFormat/>
    <w:rsid w:val="00a258ed"/>
    <w:rPr>
      <w:sz w:val="24"/>
      <w:szCs w:val="24"/>
    </w:rPr>
  </w:style>
  <w:style w:type="character" w:styleId="ListLabel1">
    <w:name w:val="ListLabel 1"/>
    <w:qFormat/>
    <w:rPr>
      <w:rFonts w:ascii="Tahoma" w:hAnsi="Tahoma"/>
      <w:b/>
      <w:color w:val="00000A"/>
      <w:sz w:val="18"/>
    </w:rPr>
  </w:style>
  <w:style w:type="character" w:styleId="ListLabel2">
    <w:name w:val="ListLabel 2"/>
    <w:qFormat/>
    <w:rPr>
      <w:rFonts w:ascii="Tahoma" w:hAnsi="Tahoma"/>
      <w:b/>
      <w:color w:val="00000A"/>
      <w:sz w:val="18"/>
    </w:rPr>
  </w:style>
  <w:style w:type="character" w:styleId="ListLabel3">
    <w:name w:val="ListLabel 3"/>
    <w:qFormat/>
    <w:rPr>
      <w:color w:val="00000A"/>
      <w:sz w:val="2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Верхний колонтитул"/>
    <w:basedOn w:val="Normal"/>
    <w:link w:val="a5"/>
    <w:rsid w:val="00a258ed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link w:val="a7"/>
    <w:uiPriority w:val="99"/>
    <w:rsid w:val="00a258ed"/>
    <w:pPr>
      <w:tabs>
        <w:tab w:val="center" w:pos="4677" w:leader="none"/>
        <w:tab w:val="right" w:pos="9355" w:leader="none"/>
      </w:tabs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  <w:style w:type="numbering" w:styleId="NoList" w:default="1">
    <w:name w:val="No Lis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f56e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D1F5-18AD-47CD-8728-EA0BC1B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LibreOffice/5.0.2.2$Windows_x86 LibreOffice_project/37b43f919e4de5eeaca9b9755ed688758a8251fe</Application>
  <Paragraphs>73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2016-07-28T03:07:00Z</dcterms:created>
  <dc:creator>User</dc:creator>
  <dc:language>ru-RU</dc:language>
  <cp:lastPrinted>2015-03-24T04:19:00Z</cp:lastPrinted>
  <dcterms:modified xsi:type="dcterms:W3CDTF">2016-08-23T15:06:54Z</dcterms:modified>
  <cp:revision>3</cp:revision>
  <dc:title>ТЕЛЕЖКА РУЧНАЯ ГИДРАВЛИЧЕСКАЯ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